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2754">
        <w:rPr>
          <w:rFonts w:ascii="Times New Roman" w:hAnsi="Times New Roman" w:cs="Times New Roman"/>
          <w:b/>
          <w:bCs/>
        </w:rPr>
        <w:t xml:space="preserve">UCHWAŁA Nr XVI.   .2020 </w:t>
      </w:r>
    </w:p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2754">
        <w:rPr>
          <w:rFonts w:ascii="Times New Roman" w:hAnsi="Times New Roman" w:cs="Times New Roman"/>
          <w:b/>
          <w:bCs/>
        </w:rPr>
        <w:t>RADY GMINY ZŁOTÓW</w:t>
      </w:r>
    </w:p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2754">
        <w:rPr>
          <w:rFonts w:ascii="Times New Roman" w:hAnsi="Times New Roman" w:cs="Times New Roman"/>
          <w:b/>
          <w:bCs/>
        </w:rPr>
        <w:t xml:space="preserve">z dnia 30 stycznia 2020 r. </w:t>
      </w:r>
    </w:p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2754">
        <w:rPr>
          <w:rFonts w:ascii="Times New Roman" w:hAnsi="Times New Roman" w:cs="Times New Roman"/>
          <w:b/>
          <w:bCs/>
        </w:rPr>
        <w:t xml:space="preserve">w sprawie wprowadzenia zmian do uchwały w sprawie uchwalenia </w:t>
      </w:r>
    </w:p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32754">
        <w:rPr>
          <w:rFonts w:ascii="Times New Roman" w:hAnsi="Times New Roman" w:cs="Times New Roman"/>
          <w:b/>
          <w:bCs/>
        </w:rPr>
        <w:t xml:space="preserve">Wieloletniej Prognozy Finansowej Gminy Złotów </w:t>
      </w:r>
      <w:r w:rsidRPr="00C32754">
        <w:rPr>
          <w:rFonts w:ascii="Times New Roman" w:hAnsi="Times New Roman" w:cs="Times New Roman"/>
          <w:b/>
          <w:bCs/>
        </w:rPr>
        <w:br/>
        <w:t>na lata 2020-2026</w:t>
      </w:r>
    </w:p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2754">
        <w:rPr>
          <w:rFonts w:ascii="Times New Roman" w:hAnsi="Times New Roman" w:cs="Times New Roman"/>
        </w:rPr>
        <w:tab/>
        <w:t xml:space="preserve">Na podstawie art. 18 ust. 2 pkt 15 ustawy z dnia 8 marca 1990 r. o samorządzie gminnym (Dz. U. z 2019 r. poz. 506 z </w:t>
      </w:r>
      <w:proofErr w:type="spellStart"/>
      <w:r w:rsidRPr="00C32754">
        <w:rPr>
          <w:rFonts w:ascii="Times New Roman" w:hAnsi="Times New Roman" w:cs="Times New Roman"/>
        </w:rPr>
        <w:t>późn</w:t>
      </w:r>
      <w:proofErr w:type="spellEnd"/>
      <w:r w:rsidRPr="00C32754">
        <w:rPr>
          <w:rFonts w:ascii="Times New Roman" w:hAnsi="Times New Roman" w:cs="Times New Roman"/>
        </w:rPr>
        <w:t xml:space="preserve">. zm.) oraz art. 226, 227, 228, 230 ust. 6 ustawy z dnia 27 sierpnia 2009 r. o finansach publicznych (Dz. U. z 2019 r. poz. 869 z </w:t>
      </w:r>
      <w:proofErr w:type="spellStart"/>
      <w:r w:rsidRPr="00C32754">
        <w:rPr>
          <w:rFonts w:ascii="Times New Roman" w:hAnsi="Times New Roman" w:cs="Times New Roman"/>
        </w:rPr>
        <w:t>późn</w:t>
      </w:r>
      <w:proofErr w:type="spellEnd"/>
      <w:r w:rsidRPr="00C32754">
        <w:rPr>
          <w:rFonts w:ascii="Times New Roman" w:hAnsi="Times New Roman" w:cs="Times New Roman"/>
        </w:rPr>
        <w:t>. zm.) Rada Gminy Złotów uchwala, co następuje:</w:t>
      </w:r>
    </w:p>
    <w:p w:rsidR="00C32754" w:rsidRPr="00C32754" w:rsidRDefault="00C32754" w:rsidP="00C3275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C32754" w:rsidRPr="00C32754" w:rsidRDefault="00C32754" w:rsidP="00C3275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2754">
        <w:rPr>
          <w:rFonts w:ascii="Times New Roman" w:hAnsi="Times New Roman" w:cs="Times New Roman"/>
        </w:rPr>
        <w:t>W uchwale Nr XV.110.2019 Rady Gminy Złotów z dnia 30 grudnia 2019 r. w sprawie uchwalenia Wieloletniej Prognozy Finansowej na lata 2020-2026, wprowadza się zmiany:</w:t>
      </w:r>
    </w:p>
    <w:p w:rsidR="00C32754" w:rsidRPr="00C32754" w:rsidRDefault="00C32754" w:rsidP="00C3275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32754" w:rsidRPr="00C32754" w:rsidRDefault="00C32754" w:rsidP="00C32754">
      <w:pPr>
        <w:widowControl w:val="0"/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2754">
        <w:rPr>
          <w:rFonts w:ascii="Times New Roman" w:hAnsi="Times New Roman" w:cs="Times New Roman"/>
          <w:b/>
          <w:bCs/>
        </w:rPr>
        <w:t xml:space="preserve">      § 1.</w:t>
      </w:r>
      <w:r w:rsidRPr="00C32754">
        <w:rPr>
          <w:rFonts w:ascii="Times New Roman" w:hAnsi="Times New Roman" w:cs="Times New Roman"/>
        </w:rPr>
        <w:t xml:space="preserve"> Załącznik Nr 1 do uchwały, stanowiący Wieloletnią Prognozę Finansową Gminy Złotów obejmującą dochody i wydatki bieżące, dochody i wydatki majątkowe, wynik budżetu, przeznaczenie nadwyżki, przychody i rozchody budżetu, kwotę długu oraz sposób sfinansowania spłaty długu, otrzymuje brzmienie, zgodnie z załącznikiem Nr 1 do niniejszej uchwały.</w:t>
      </w:r>
    </w:p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2754">
        <w:rPr>
          <w:rFonts w:ascii="Times New Roman" w:hAnsi="Times New Roman" w:cs="Times New Roman"/>
          <w:b/>
          <w:bCs/>
        </w:rPr>
        <w:t xml:space="preserve">     § 2. </w:t>
      </w:r>
      <w:r w:rsidRPr="00C32754">
        <w:rPr>
          <w:rFonts w:ascii="Times New Roman" w:hAnsi="Times New Roman" w:cs="Times New Roman"/>
        </w:rPr>
        <w:t>Załącznik Nr 2 do uchwały, stanowiący wykaz wieloletnich przedsięwzięć finansowych otrzymuje brzmienie, zgodnie z załącznikiem Nr 2 do niniejszej uchwały.</w:t>
      </w:r>
    </w:p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2754">
        <w:rPr>
          <w:rFonts w:ascii="Times New Roman" w:hAnsi="Times New Roman" w:cs="Times New Roman"/>
          <w:b/>
          <w:bCs/>
        </w:rPr>
        <w:t xml:space="preserve">     § 3. </w:t>
      </w:r>
      <w:r w:rsidRPr="00C32754">
        <w:rPr>
          <w:rFonts w:ascii="Times New Roman" w:hAnsi="Times New Roman" w:cs="Times New Roman"/>
        </w:rPr>
        <w:t xml:space="preserve">Wykonanie uchwały powierza się Wójtowi Gminy Złotów. </w:t>
      </w:r>
    </w:p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32754" w:rsidRPr="00C32754" w:rsidRDefault="00C32754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2754">
        <w:rPr>
          <w:rFonts w:ascii="Times New Roman" w:hAnsi="Times New Roman" w:cs="Times New Roman"/>
          <w:b/>
          <w:bCs/>
        </w:rPr>
        <w:t xml:space="preserve">     § 4.</w:t>
      </w:r>
      <w:r w:rsidRPr="00C32754">
        <w:rPr>
          <w:rFonts w:ascii="Times New Roman" w:hAnsi="Times New Roman" w:cs="Times New Roman"/>
        </w:rPr>
        <w:t xml:space="preserve"> Uchwała wchodzi w życie z dniem podjęcia.</w:t>
      </w:r>
    </w:p>
    <w:p w:rsidR="00C32754" w:rsidRPr="00C32754" w:rsidRDefault="00C32754" w:rsidP="00C327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6402" w:rsidRPr="00AE6402" w:rsidRDefault="00AE6402" w:rsidP="00AE640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AE6402" w:rsidRDefault="00AE6402" w:rsidP="0027049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D65641" w:rsidRPr="001E7113" w:rsidRDefault="00D65641">
      <w:pPr>
        <w:sectPr w:rsidR="00D65641" w:rsidRPr="001E7113" w:rsidSect="00211500">
          <w:headerReference w:type="default" r:id="rId9"/>
          <w:pgSz w:w="11894" w:h="15840"/>
          <w:pgMar w:top="1440" w:right="1440" w:bottom="1417" w:left="1440" w:header="708" w:footer="708" w:gutter="0"/>
          <w:cols w:space="708"/>
          <w:noEndnote/>
          <w:titlePg/>
          <w:docGrid w:linePitch="299"/>
        </w:sect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Wieloletnia Prognoza Finansowa</w:t>
      </w:r>
    </w:p>
    <w:p w:rsidR="00AE6402" w:rsidRPr="00AE6402" w:rsidRDefault="00AE6402" w:rsidP="00C327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 w:rsidR="0015246B">
        <w:rPr>
          <w:rFonts w:ascii="Times New Roman" w:eastAsia="Calibri" w:hAnsi="Times New Roman" w:cs="Times New Roman"/>
          <w:b/>
          <w:lang w:eastAsia="en-US"/>
        </w:rPr>
        <w:t>ałącznik Nr 1 do uchwały Nr XV</w:t>
      </w:r>
      <w:r w:rsidR="00C32754">
        <w:rPr>
          <w:rFonts w:ascii="Times New Roman" w:eastAsia="Calibri" w:hAnsi="Times New Roman" w:cs="Times New Roman"/>
          <w:b/>
          <w:lang w:eastAsia="en-US"/>
        </w:rPr>
        <w:t>I</w:t>
      </w:r>
      <w:r w:rsidR="0015246B">
        <w:rPr>
          <w:rFonts w:ascii="Times New Roman" w:eastAsia="Calibri" w:hAnsi="Times New Roman" w:cs="Times New Roman"/>
          <w:b/>
          <w:lang w:eastAsia="en-US"/>
        </w:rPr>
        <w:t>.</w:t>
      </w:r>
      <w:r w:rsidR="00C32754">
        <w:rPr>
          <w:rFonts w:ascii="Times New Roman" w:eastAsia="Calibri" w:hAnsi="Times New Roman" w:cs="Times New Roman"/>
          <w:b/>
          <w:lang w:eastAsia="en-US"/>
        </w:rPr>
        <w:t xml:space="preserve">   </w:t>
      </w:r>
      <w:r w:rsidR="0015246B">
        <w:rPr>
          <w:rFonts w:ascii="Times New Roman" w:eastAsia="Calibri" w:hAnsi="Times New Roman" w:cs="Times New Roman"/>
          <w:b/>
          <w:lang w:eastAsia="en-US"/>
        </w:rPr>
        <w:t>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 w:rsidR="00C32754"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 w:rsidR="0015246B">
        <w:rPr>
          <w:rFonts w:ascii="Times New Roman" w:eastAsia="Calibri" w:hAnsi="Times New Roman" w:cs="Times New Roman"/>
          <w:b/>
          <w:lang w:eastAsia="en-US"/>
        </w:rPr>
        <w:t xml:space="preserve">30 </w:t>
      </w:r>
      <w:r w:rsidR="00C32754">
        <w:rPr>
          <w:rFonts w:ascii="Times New Roman" w:eastAsia="Calibri" w:hAnsi="Times New Roman" w:cs="Times New Roman"/>
          <w:b/>
          <w:lang w:eastAsia="en-US"/>
        </w:rPr>
        <w:t>stycznia 2020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="00C32754" w:rsidRPr="00C32754">
        <w:rPr>
          <w:rFonts w:ascii="Times New Roman" w:hAnsi="Times New Roman" w:cs="Times New Roman"/>
          <w:b/>
          <w:bCs/>
        </w:rPr>
        <w:t xml:space="preserve">w sprawie wprowadzenia zmian do uchwały </w:t>
      </w:r>
      <w:r w:rsidR="00C32754">
        <w:rPr>
          <w:rFonts w:ascii="Times New Roman" w:hAnsi="Times New Roman" w:cs="Times New Roman"/>
          <w:b/>
          <w:bCs/>
        </w:rPr>
        <w:br/>
      </w:r>
      <w:r w:rsidR="00C32754" w:rsidRPr="00C32754">
        <w:rPr>
          <w:rFonts w:ascii="Times New Roman" w:hAnsi="Times New Roman" w:cs="Times New Roman"/>
          <w:b/>
          <w:bCs/>
        </w:rPr>
        <w:t>w sprawie uchwalenia Wieloletniej Pr</w:t>
      </w:r>
      <w:r w:rsidR="00C32754">
        <w:rPr>
          <w:rFonts w:ascii="Times New Roman" w:hAnsi="Times New Roman" w:cs="Times New Roman"/>
          <w:b/>
          <w:bCs/>
        </w:rPr>
        <w:t xml:space="preserve">ognozy Finansowej Gminy Złotów </w:t>
      </w:r>
      <w:r w:rsidR="00C32754"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p w:rsidR="00AE6402" w:rsidRPr="00AE6402" w:rsidRDefault="00AE6402" w:rsidP="00C32754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2"/>
        <w:gridCol w:w="1200"/>
        <w:gridCol w:w="972"/>
        <w:gridCol w:w="1080"/>
        <w:gridCol w:w="1061"/>
        <w:gridCol w:w="1077"/>
        <w:gridCol w:w="1077"/>
        <w:gridCol w:w="1026"/>
        <w:gridCol w:w="1083"/>
        <w:gridCol w:w="1026"/>
        <w:gridCol w:w="949"/>
        <w:gridCol w:w="1153"/>
      </w:tblGrid>
      <w:tr w:rsidR="00AE6402" w:rsidRPr="0015246B" w:rsidTr="00AE6402">
        <w:trPr>
          <w:trHeight w:hRule="exact" w:val="277"/>
          <w:jc w:val="center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ogółem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5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</w:tr>
      <w:tr w:rsidR="00AE6402" w:rsidRPr="0015246B" w:rsidTr="00AE6402">
        <w:trPr>
          <w:trHeight w:hRule="exact" w:val="27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6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Dochody majątkowe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 xml:space="preserve"> x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:rsidTr="00AE6402">
        <w:trPr>
          <w:trHeight w:hRule="exact" w:val="28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fizycznych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z tytułu udziału we wpływach z podatku dochodowego od osób prawnych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 subwencji ogólnej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z tytułu dotacji i środków przeznaczonych na cele </w:t>
            </w:r>
          </w:p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 3)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Pozostałe dochody bieżące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4)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ze sprzedaży majątku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tytułu dotacji oraz środków przeznaczonych na inwestycje</w:t>
            </w:r>
          </w:p>
        </w:tc>
      </w:tr>
      <w:tr w:rsidR="00AE6402" w:rsidRPr="0015246B" w:rsidTr="00AE6402">
        <w:trPr>
          <w:trHeight w:val="291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podatku od nieruchomości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</w:tr>
      <w:tr w:rsidR="00AE6402" w:rsidRPr="0015246B" w:rsidTr="00AE6402">
        <w:trPr>
          <w:trHeight w:hRule="exact" w:val="282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1.1.5.1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</w:tr>
      <w:tr w:rsidR="00AE6402" w:rsidRPr="0015246B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48 124 972,07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43 627 648,00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4 672 965,00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17 079 665,00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13 593 056,00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8 201 962,00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5 062 804,00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4 497 324,07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23 993,00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</w:tr>
      <w:tr w:rsidR="00AE6402" w:rsidRPr="0015246B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48 847 930,00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48 547 930,00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17 300 000,00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18 543 000,00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7 814 930,00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4 650 000,00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49 186 430,00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48 886 430,00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4 900 000,00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17 450 000,00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18 544 000,00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7 892 430,00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49 574 930,00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49 274 930,00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8 019 930,00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4 800 000,00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7"/>
          <w:jc w:val="center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49 600 000,00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49 300 000,00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5 000 000,00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115 000,00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17 600 000,00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18 545 000,00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8 040 000,00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4 850 000,00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300 000,00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:rsidR="00AE6402" w:rsidRPr="00AE6402" w:rsidRDefault="00AE6402" w:rsidP="00AE6402">
      <w:pPr>
        <w:autoSpaceDN w:val="0"/>
        <w:rPr>
          <w:rFonts w:ascii="Calibri" w:eastAsia="Times New Roman" w:hAnsi="Calibri" w:cs="Times New Roman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1)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Wzór może być stosowany także w układzie pionowym, w którym poszczególne pozycje są przedstawione w kolumnach, a lata w wierszach.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2)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Zgodnie z art. 227 ustawy z dnia 27 sierpnia 2009 r. o finansach publicznych (Dz. U. z 2019 r. poz.869, 1622 i 1649) zwanej dalej „ustawą”, wieloletnia prognoza finansowa obejmuje okres roku budżetowego oraz co najmniej trzech kolejnych lat. W sytuacji dłuższego  okresu prognozowania finansowego wzór stosuje się dla lat wykraczających poza minimalny (4 -letni) okres prognozy, wynikający z art. 227 ustawy.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3)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dochody o charakterze celowym, które jednostka otrzymuje od podmiotów zewnętrznych. W szczególności pozycja obejmuje dotacje celowe z budżetu państwa na zadania bieżące oraz dotacje i środki na finansowanie wydatków bieżących na realizację zadań finansowanych z udziałem środków, o których mowa w art. 5 ust. 1 pkt 2 i 3 ustawy. W pozycji nie wykazuje się natomiast dochodów związanych ze szczególnymi zasadami wykonywania budżetu jednostki wynikającymi z odrębnych ustaw, o których mowa w art. 237 ust. 1 ustawy.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  <w:vertAlign w:val="superscript"/>
        </w:rPr>
        <w:t>4)</w:t>
      </w: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W pozycji wykazuje się pozostałe dochody bieżące w szczególności kwoty podatków i opłat lokalnych.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1157"/>
        <w:gridCol w:w="1157"/>
        <w:gridCol w:w="1157"/>
        <w:gridCol w:w="912"/>
        <w:gridCol w:w="925"/>
        <w:gridCol w:w="1080"/>
        <w:gridCol w:w="973"/>
        <w:gridCol w:w="925"/>
        <w:gridCol w:w="1125"/>
        <w:gridCol w:w="1126"/>
        <w:gridCol w:w="1084"/>
      </w:tblGrid>
      <w:tr w:rsidR="00AE6402" w:rsidRPr="0015246B" w:rsidTr="00AE6402">
        <w:trPr>
          <w:trHeight w:hRule="exact" w:val="277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ogółem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10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bieżące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59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Wydatki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majątkowe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:rsidTr="00AE6402">
        <w:trPr>
          <w:trHeight w:hRule="exact"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na wynagrodzenia i składki od nich naliczane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z tytułu poręczeń i gwarancji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 xml:space="preserve"> 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na obsługę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Inwestycje i zakupy inwestycyjne, o których mowa w art. 236 ust 4 pkt 1 ustawy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:rsidTr="00AE6402">
        <w:trPr>
          <w:trHeight w:hRule="exact" w:val="29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gwarancje i poręczenia podlegające wyłączeniu z limitu spłaty zobowiązań, o którym mowa w art. 243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w terminie nie dłuższym niż 90 dni po zakończeniu programu, projektu lub zadania i otrzymaniu refundacji z tych środków (bez odsetek i dyskonta od zobowiązań na wkład krajowy)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lang w:eastAsia="en-US"/>
              </w:rPr>
              <w:t xml:space="preserve">odsetki i dyskonto podlegające wyłączeniu z limitu spłaty zobowiązań, o którym mowa w art. 243 ustawy, z tytułu zobowiązań zaciągniętych na wkład krajowy </w:t>
            </w:r>
            <w:r w:rsidRPr="0015246B">
              <w:rPr>
                <w:rFonts w:ascii="Times New Roman" w:eastAsia="Times New Roman" w:hAnsi="Times New Roman" w:cs="Times New Roman"/>
                <w:sz w:val="12"/>
                <w:szCs w:val="12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o charakterze dotacyjnym na inwestycje i zakupy inwestycyjne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  <w:proofErr w:type="spellEnd"/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2.1.2.1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2.1.3.1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2.1.3.2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2.2.1.1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47 829 972,07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40 548 313,62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16 031 623,00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245 000,00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7 281 658,45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7 281 658,45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168 000,00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47 052 930,00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43 141 908,00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15 909 908,00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226 000,00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3 911 022,00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3 911 022,00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47 291 430,00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43 805 566,00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16 445 566,00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180 000,00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3 485 864,00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3 485 864,00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47 844 430,00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44 549 729,00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17 062 729,00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130 000,00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3 294 701,00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47 920 000,00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85 000,00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3 320 000,00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48 15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44 600 000,00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17 000,00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3 55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3 55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3"/>
        <w:gridCol w:w="1304"/>
        <w:gridCol w:w="1304"/>
        <w:gridCol w:w="1304"/>
        <w:gridCol w:w="1304"/>
        <w:gridCol w:w="1304"/>
        <w:gridCol w:w="1304"/>
        <w:gridCol w:w="1304"/>
        <w:gridCol w:w="1304"/>
        <w:gridCol w:w="1306"/>
      </w:tblGrid>
      <w:tr w:rsidR="00AE6402" w:rsidRPr="0015246B" w:rsidTr="00AE6402">
        <w:trPr>
          <w:trHeight w:hRule="exact" w:val="269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Wynik budżetu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Przychody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budżetu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7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prognozowanej nadwyżki budżetu przeznaczana na spłatę kredytów, pożyczek i wykup papierów wartościowych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5)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 Kredyty, pożyczki, emisja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Nadwyżka budżetowa z lat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 6)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Wolne środki, o których mowa w art. 217 ust 2 pkt 6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w tym:</w:t>
            </w:r>
          </w:p>
        </w:tc>
      </w:tr>
      <w:tr w:rsidR="00AE6402" w:rsidRPr="0015246B" w:rsidTr="00AE6402">
        <w:trPr>
          <w:trHeight w:hRule="exact" w:val="31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Lp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3.1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4.1.1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4.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2.1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4.3.1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1 990 000,00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79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95 000,00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30 500,00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6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80 000,00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1 500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69"/>
        </w:trPr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1 45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1 450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 000,00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5)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Inne przeznaczenie nadwyżki budżetowej wymaga określenia w objaśnieniach do wieloletniej prognozy finansowej.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6)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środki pieniężne znajdujące się na rachunku budżetu pochodzące z nadwyżek poprzednich budżetów łącznie z niewykorzystanymi środkami, o których mowa w art. 217 ust. 2 pkt 8 ustawy.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1134"/>
        <w:gridCol w:w="1134"/>
        <w:gridCol w:w="1134"/>
        <w:gridCol w:w="1134"/>
        <w:gridCol w:w="1276"/>
        <w:gridCol w:w="1276"/>
        <w:gridCol w:w="1275"/>
        <w:gridCol w:w="1276"/>
        <w:gridCol w:w="1134"/>
      </w:tblGrid>
      <w:tr w:rsidR="00AE6402" w:rsidRPr="0015246B" w:rsidTr="00AE6402">
        <w:trPr>
          <w:trHeight w:hRule="exact" w:val="277"/>
        </w:trPr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Wyszczególnienie</w:t>
            </w:r>
            <w:proofErr w:type="spellEnd"/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Rozchody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budżetu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 xml:space="preserve">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  <w:t>x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z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tego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 udzielonych pożyczek w latach ubiegłych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Inne przychody niezwiązane z zaciągnięciem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Spłaty rat kapitałowych kredytów i pożyczek oraz wykup papierów wartościowych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na pokrycie deficytu budżetu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łączna kwota przypadających na dany rok kwot ustawowych wyłączeń z limitu spłaty zobowiązań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 xml:space="preserve">w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tym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:</w:t>
            </w:r>
          </w:p>
        </w:tc>
      </w:tr>
      <w:tr w:rsidR="00AE6402" w:rsidRPr="0015246B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wyłączeń określonych w art. 243 ust. 3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przypadających na dany rok kwot wyłączeń określonych w art. 243 ust. 3a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Lp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4.4.1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4.5.1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en-US"/>
              </w:rPr>
              <w:t>5.1.1.2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190 000,00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2 285 000,00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2 095 000,00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en-US"/>
              </w:rPr>
              <w:t>500 00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1 895 000,00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1 895 000,00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1 730 500,00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1 680 000,00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</w:t>
            </w:r>
            <w:r w:rsidR="00772D9C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5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1 45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772D9C" w:rsidP="00772D9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1 45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US" w:eastAsia="en-US"/>
              </w:rPr>
              <w:t>0,00</w:t>
            </w:r>
          </w:p>
        </w:tc>
      </w:tr>
    </w:tbl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7)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W pozycji należy ująć w szczególności przychody pochodzące z prywatyzacji majątku jednostki samorządu terytorialnego.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3"/>
        <w:gridCol w:w="1017"/>
        <w:gridCol w:w="1040"/>
        <w:gridCol w:w="1040"/>
        <w:gridCol w:w="1042"/>
        <w:gridCol w:w="1130"/>
        <w:gridCol w:w="1164"/>
        <w:gridCol w:w="1006"/>
        <w:gridCol w:w="1164"/>
        <w:gridCol w:w="1165"/>
      </w:tblGrid>
      <w:tr w:rsidR="00AE6402" w:rsidRPr="0015246B" w:rsidTr="00AE6402">
        <w:trPr>
          <w:trHeight w:hRule="exact" w:val="277"/>
        </w:trPr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2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Rozchody budżetu, z tego: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Relacja zrównoważenia wydatków bieżących, o której mowa w art. 242 ustawy</w:t>
            </w:r>
          </w:p>
        </w:tc>
      </w:tr>
      <w:tr w:rsidR="00AE6402" w:rsidRPr="0015246B" w:rsidTr="00AE6402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4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łączna kwota przypadających na dany rok kwot ustawowych wyłączeń z limitu spłaty zobowiązań, w tym: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Inne rozchody niezwiązane ze spłatą długu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kwota długu, którego planowana spłata dokona się z wydatków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Różnica między dochodami bieżącymi a  wydatkami bieżącymi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Różnica między dochodami bieżącymi, skorygowanymi o środki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vertAlign w:val="superscript"/>
              </w:rPr>
              <w:t xml:space="preserve">8) 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a wydatkami bieżącymi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kwota wyłączeń z tytułu wcześniejszej spłaty zobowiązań, określonych w art. 243 ust 3b ustawy</w:t>
            </w:r>
          </w:p>
        </w:tc>
        <w:tc>
          <w:tcPr>
            <w:tcW w:w="3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:rsidTr="00AE6402">
        <w:trPr>
          <w:trHeight w:hRule="exact" w:val="29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środkami nowego zobowiązania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Wolnymi środkami, o których mowa w art. 217 ust. 2 pkt 6 ustawy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innymi środkami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AE6402" w:rsidRPr="0015246B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5.1.1.3.3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5.2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6.1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7.2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190 000,00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033F09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050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3 079 334,38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3 079 334,38</w:t>
            </w:r>
          </w:p>
        </w:tc>
      </w:tr>
      <w:tr w:rsidR="00AE6402" w:rsidRPr="0015246B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6402" w:rsidRPr="0015246B" w:rsidRDefault="00033F0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8 255 500,00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5 406 022,00</w:t>
            </w:r>
          </w:p>
        </w:tc>
      </w:tr>
      <w:tr w:rsidR="00AE6402" w:rsidRPr="0015246B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6402" w:rsidRPr="0015246B" w:rsidRDefault="00033F0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6 360 500,00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5 080 864,00</w:t>
            </w:r>
          </w:p>
        </w:tc>
      </w:tr>
      <w:tr w:rsidR="00AE6402" w:rsidRPr="0015246B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6402" w:rsidRPr="0015246B" w:rsidRDefault="00033F0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4 630 000,00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4 725 201,00</w:t>
            </w:r>
          </w:p>
        </w:tc>
      </w:tr>
      <w:tr w:rsidR="00AE6402" w:rsidRPr="0015246B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6402" w:rsidRPr="0015246B" w:rsidRDefault="00033F0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2 950 000,00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:rsidTr="00033F09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6402" w:rsidRPr="0015246B" w:rsidRDefault="00033F0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1 450 000,00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4 700 000,00</w:t>
            </w:r>
          </w:p>
        </w:tc>
      </w:tr>
    </w:tbl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8)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Skorygowanie o środki dotyczy określonego w art. 242 ustawy powiększenia w szczególności o przychody określone w art. 217 ust. 2 pkt 5 ustawy.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092"/>
        <w:gridCol w:w="1102"/>
        <w:gridCol w:w="1102"/>
        <w:gridCol w:w="1102"/>
        <w:gridCol w:w="1102"/>
        <w:gridCol w:w="1092"/>
        <w:gridCol w:w="1092"/>
      </w:tblGrid>
      <w:tr w:rsidR="00AE6402" w:rsidRPr="0015246B" w:rsidTr="00AE6402">
        <w:trPr>
          <w:trHeight w:hRule="exact" w:val="277"/>
        </w:trPr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7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Wskaźnik spłaty zobowiązań</w:t>
            </w:r>
          </w:p>
        </w:tc>
      </w:tr>
      <w:tr w:rsidR="00AE6402" w:rsidRPr="0015246B" w:rsidTr="00AE6402">
        <w:trPr>
          <w:trHeight w:hRule="exact" w:val="38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Relacja określona po lewej stronie nierówności we wzorze, o którym mowa w art. 243 ust. 1 ustawy (po uwzględnieniu zobowiązań związku współtworzonego przez jednostkę samorządu terytorialnego oraz po uwzględnieniu ustawowych wyłączeń przypadających na dany rok)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Relacja określona po prawej stronie nierówności we wzorze, o którym mowa w art. 243 ust. 1 ustawy, ustalona dla danego roku (wskaźnik jednoroczny)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Dopuszczalny limit spłaty zobowiązań określony po prawej stronie nierówności we wzorze, o którym mowa w art. 243 ustawy, po uwzględnieniu ustawowych wyłączeń, obliczony w oparciu o plan 3. kwartału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>Dopuszczalny limit spłaty zobowiązań określony po prawej stronie nierówności we wzorze, o którym mowa w art. 243 ustawy, po uwzględnieniu ustawowych wyłączeń, obliczony w oparciu o wykonanie roku poprzedzającego pierwszy rok prognozy (wskaźnik ustalony w oparciu o średnią arytmetyczną z poprzednich lat)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wyłączeń, obliczonego w oparciu o plan 3 kwartałów roku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Informacja o spełnieniu wskaźnika spłaty zobowiązań określonego w art. 243 ustawy, po uwzględnieniu zobowiązań związku współtworzonego przez jednostkę samorządu terytorialnego oraz po uwzględnieniu ustawowych wyłączeń, obliczonego w oparciu o wykonanie roku  poprzedzającego rok budżetowy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>x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Lp</w:t>
            </w:r>
            <w:proofErr w:type="spellEnd"/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8.1</w:t>
            </w:r>
          </w:p>
        </w:tc>
        <w:tc>
          <w:tcPr>
            <w:tcW w:w="2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8.2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8.3.1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  <w:t>8.4.1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6,12%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A4D1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11,0</w:t>
            </w:r>
            <w:r w:rsidR="00AA4D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A4D1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10,</w:t>
            </w:r>
            <w:r w:rsidR="00AA4D1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33</w:t>
            </w: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20,65%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22,51%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6,74%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18,77%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19,02%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17,32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19,18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6,84%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15,65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17,51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6,05%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15,80%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16,35%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15,69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15,69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5,74%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15,56%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16,26%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17,70%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17,70%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8422E3" w:rsidP="00033F09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  <w:bookmarkStart w:id="0" w:name="_GoBack"/>
            <w:bookmarkEnd w:id="0"/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,0</w:t>
            </w:r>
            <w:r w:rsidR="00033F0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15,43%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16,78%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  <w:tr w:rsidR="00AE6402" w:rsidRPr="0015246B" w:rsidTr="00AE6402">
        <w:trPr>
          <w:trHeight w:hRule="exact" w:val="27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033F09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4,77</w:t>
            </w:r>
            <w:r w:rsidR="00AE6402"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15,34%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15,95%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16,69%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TAK</w:t>
            </w:r>
          </w:p>
        </w:tc>
      </w:tr>
    </w:tbl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1158"/>
        <w:gridCol w:w="953"/>
        <w:gridCol w:w="1076"/>
        <w:gridCol w:w="1172"/>
        <w:gridCol w:w="1172"/>
        <w:gridCol w:w="1172"/>
        <w:gridCol w:w="1158"/>
        <w:gridCol w:w="953"/>
        <w:gridCol w:w="1157"/>
      </w:tblGrid>
      <w:tr w:rsidR="00AE6402" w:rsidRPr="0015246B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99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Finansowanie programów, projektów lub zadań realizowanych z udziałem środków, o których mowa w art. 5 ust. 1 pkt 2 i 3 ustawy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bieżące na programy, projekty lub zadania finansowane z udziałem środków, o których mowa w art. 5 ust. 1 pkt 2 i 3 ustawy</w:t>
            </w: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na programy, projekty lub zadania finansowane z udziałem środków, o których mowa w art. 5 ust. 1 pkt 2 i 3 ustawy</w:t>
            </w:r>
          </w:p>
        </w:tc>
        <w:tc>
          <w:tcPr>
            <w:tcW w:w="2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programy, projekty lub zadania finansowane z udziałem środków, o których mowa w art. 5 ust. 1 pkt 2 i 3 ustawy</w:t>
            </w:r>
          </w:p>
        </w:tc>
        <w:tc>
          <w:tcPr>
            <w:tcW w:w="2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Dotacja i środki o charakterze bieżącym na realizację programu, projektu lub zadania finansowanego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Dochody majątkowe  na programy, projekty lub zadania finansowane z udziałem środków, o których mowa w art. 5 ust. 1 pkt 2 ustawy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Wydatki bieżące na program</w:t>
            </w:r>
            <w:r w:rsidR="005F30B6"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y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, projekty lub zadania finansowane z udziałem środków, o których mowa w art. 5 ust. 1 pkt 2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</w:tr>
      <w:tr w:rsidR="00AE6402" w:rsidRPr="0015246B" w:rsidTr="00AE6402">
        <w:trPr>
          <w:trHeight w:hRule="exact"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środki określone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9.1.1.1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9.2.1.1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9.3.1.1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4 465 349,07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tbl>
      <w:tblPr>
        <w:tblW w:w="13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0"/>
        <w:gridCol w:w="946"/>
        <w:gridCol w:w="1278"/>
        <w:gridCol w:w="1132"/>
        <w:gridCol w:w="1278"/>
        <w:gridCol w:w="1078"/>
        <w:gridCol w:w="1046"/>
        <w:gridCol w:w="1276"/>
        <w:gridCol w:w="1316"/>
        <w:gridCol w:w="1299"/>
        <w:gridCol w:w="1307"/>
      </w:tblGrid>
      <w:tr w:rsidR="00AE6402" w:rsidRPr="0015246B" w:rsidTr="00AE6402">
        <w:trPr>
          <w:trHeight w:hRule="exact" w:val="272"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Wyszczególnienie</w:t>
            </w:r>
          </w:p>
        </w:tc>
        <w:tc>
          <w:tcPr>
            <w:tcW w:w="3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AE6402" w:rsidRPr="0015246B" w:rsidRDefault="00AE6402" w:rsidP="00AE6402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8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i 3 ustawy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objęte limitem, o którym mowa w art. 226 ust. 3 pkt 4 ustawy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 tego: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bieżące na pokrycie ujemnego wyniku finansowego samodzielnego publicznego zakładu opieki zdrowotnej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spłatę zobowiązań przejmowanych w związku z likwidacją lub przekształceniem samodzielnego publicznego zakładu opieki zdrowotnej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zobowiązań związku współtworzonego przez jednostkę samorządu terytorialnego przypadających do spłaty w danym roku budżetowym, podlegająca doliczeniu zgodnie z art. 244 ustawy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Kwota zobowiązań wynikających z przejęcia przez jednostkę samorządu terytorialnego zobowiązań po likwidowanych i przekształcanych samorządowych osobach prawnych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majątkowe na programy, projekty lub zadania finansowane z udziałem środków, o których mowa w art. 5 ust. 1 pkt 2 ustawy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bieżące</w:t>
            </w: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majątkowe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:rsidTr="00AE6402">
        <w:trPr>
          <w:trHeight w:val="2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finansowane środkami określonymi w art. 5 ust. 1 pkt 2 ustawy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9.4.1.1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10.1.2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10.5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A4D1A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4 701 594,41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C85AAB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  <w:r w:rsidR="00C85A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9 413,20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AA4D1A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4</w:t>
            </w:r>
            <w:r w:rsidR="00AA4D1A"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  <w:t> 072 181,21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97 157,20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11 957,20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9 447,20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72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</w:tbl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3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7"/>
        <w:gridCol w:w="1307"/>
        <w:gridCol w:w="1307"/>
        <w:gridCol w:w="1307"/>
        <w:gridCol w:w="1307"/>
        <w:gridCol w:w="1307"/>
        <w:gridCol w:w="1307"/>
        <w:gridCol w:w="1307"/>
        <w:gridCol w:w="1307"/>
        <w:gridCol w:w="1283"/>
      </w:tblGrid>
      <w:tr w:rsidR="00AE6402" w:rsidRPr="0015246B" w:rsidTr="00AE6402">
        <w:trPr>
          <w:trHeight w:hRule="exact" w:val="267"/>
        </w:trPr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117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Informacje uzupełniające o wybranych kategoriach finansowych</w:t>
            </w:r>
          </w:p>
        </w:tc>
      </w:tr>
      <w:tr w:rsidR="00AE6402" w:rsidRPr="0015246B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Spłaty, o których mowa w poz. 5.1, wynikające wyłącznie z tytułu zobowiązań już zaciągniętych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Wydatki zmniejszające dług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6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Kwota wzrostu (+) /spadku (-) kwoty długu wynikająca z operacji </w:t>
            </w:r>
            <w:proofErr w:type="spellStart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niekasowych</w:t>
            </w:r>
            <w:proofErr w:type="spellEnd"/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(m.in. umorzenia, różnice kursowe) 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Wcześniejsza spłata zobowiązań, wyłączona z limitu spłaty zobowiązań, dokonywana w formie wydatków budżetowych</w:t>
            </w:r>
          </w:p>
        </w:tc>
      </w:tr>
      <w:tr w:rsidR="00AE6402" w:rsidRPr="0015246B" w:rsidTr="00AE6402">
        <w:trPr>
          <w:trHeight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wymagalnych z lat poprzednich, innych niż w poz. 10.7.3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spłata zobowiązań zaliczanych do tytułu dłużnego – kredyt i pożyczka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wypłaty z tytułu wymagalnych poręczeń </w:t>
            </w:r>
          </w:p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i gwarancji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:rsidTr="00AE6402">
        <w:trPr>
          <w:trHeight w:hRule="exact" w:val="2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zobowiązań zaciągniętych po dniu 1 stycznia </w:t>
            </w:r>
          </w:p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2019 r.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 tym: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:rsidTr="00AE6402">
        <w:trPr>
          <w:trHeight w:val="25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dokonywana w formie wydatku bieżącego </w:t>
            </w:r>
            <w:r w:rsidRPr="0015246B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402" w:rsidRPr="0015246B" w:rsidRDefault="00AE6402" w:rsidP="00AE6402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AE6402" w:rsidRPr="0015246B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Lp</w:t>
            </w:r>
            <w:proofErr w:type="spellEnd"/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10.7.2.1.1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10.7.3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10.9</w:t>
            </w:r>
          </w:p>
        </w:tc>
      </w:tr>
      <w:tr w:rsidR="00AE6402" w:rsidRPr="0015246B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2 095 000,00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</w:tr>
      <w:tr w:rsidR="00AE6402" w:rsidRPr="0015246B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1 595 000,00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1 695 000,00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1 430 500,00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1 380 000,00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1 100 000,00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  <w:tr w:rsidR="00AE6402" w:rsidRPr="0015246B" w:rsidTr="00AE6402">
        <w:trPr>
          <w:trHeight w:hRule="exact" w:val="267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C85AAB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1 050 000,00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  <w:hideMark/>
          </w:tcPr>
          <w:p w:rsidR="00AE6402" w:rsidRPr="0015246B" w:rsidRDefault="00AE6402" w:rsidP="00AE6402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en-US" w:eastAsia="en-US"/>
              </w:rPr>
            </w:pPr>
            <w:r w:rsidRPr="00152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x</w:t>
            </w:r>
          </w:p>
        </w:tc>
      </w:tr>
    </w:tbl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>*  Informacje zawarte w tej części wieloletniej prognozy finansowej, w tym o spełnieniu relacji określonej w art. 243 ustawy zostaną automatycznie wygenerowane przez aplikację wskazaną przez Ministra Finansów, o której mowa w § 4 ust. 1, na podstawie danych historycznych oraz prognozowanych przez jednostkę samorządu terytorialnego. Automatyczne wyliczenia danych na podstawie wartości historycznych i prognozowanych przez jednostkę samorządu terytorialnego dotyczą w szczególności także pozycji 8.3 – 8.3.1 i pozycji z sekcji 12.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</w:pP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  <w:vertAlign w:val="superscript"/>
        </w:rPr>
        <w:t>x</w:t>
      </w:r>
      <w:r w:rsidRPr="0015246B">
        <w:rPr>
          <w:rFonts w:ascii="Times New Roman" w:eastAsia="Times New Roman" w:hAnsi="Times New Roman" w:cs="Times New Roman"/>
          <w:bCs/>
          <w:iCs/>
          <w:color w:val="000000"/>
          <w:sz w:val="14"/>
          <w:szCs w:val="14"/>
        </w:rPr>
        <w:t xml:space="preserve"> - pozycje oznaczone symbolem „x” sporządza się na okres prognozy kwoty długu, zgodnie z art. 227 ust. 2 ustawy. Okres ten nie podlega wydłużeniu w sytuacji planowania wydatków z tytułu niewymagalnych poręczeń i gwarancji. W przypadku planowania wydatków z tytułu niewymagalnych poręczeń i gwarancji w okresie dłuższym niż okres, na który zaciągnięto oraz planuje się zaciągnąć zobowiązania dłużne, informację o wydatkach z tytułu niewymagalnych poręczeń i gwarancji, wykraczających poza wspomniany okres, należy zamieścić w objaśnieniach do wieloletniej prognozy finansowej. </w:t>
      </w: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15246B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16"/>
          <w:szCs w:val="16"/>
        </w:rPr>
      </w:pPr>
    </w:p>
    <w:p w:rsidR="00AE6402" w:rsidRPr="00AE6402" w:rsidRDefault="00AE6402" w:rsidP="00AE6402">
      <w:pPr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</w:rPr>
      </w:pPr>
      <w:r w:rsidRPr="00AE6402">
        <w:rPr>
          <w:rFonts w:ascii="Times New Roman" w:eastAsia="Times New Roman" w:hAnsi="Times New Roman" w:cs="Times New Roman"/>
          <w:b/>
          <w:bCs/>
          <w:iCs/>
          <w:color w:val="000000"/>
        </w:rPr>
        <w:lastRenderedPageBreak/>
        <w:t>Wykaz przedsięwzięć do WPF</w:t>
      </w:r>
    </w:p>
    <w:p w:rsidR="00006F01" w:rsidRPr="00AE6402" w:rsidRDefault="00006F01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lang w:eastAsia="en-US"/>
        </w:rPr>
      </w:pPr>
      <w:r w:rsidRPr="00AE6402">
        <w:rPr>
          <w:rFonts w:ascii="Times New Roman" w:eastAsia="Calibri" w:hAnsi="Times New Roman" w:cs="Times New Roman"/>
          <w:b/>
          <w:lang w:eastAsia="en-US"/>
        </w:rPr>
        <w:t>Z</w:t>
      </w:r>
      <w:r>
        <w:rPr>
          <w:rFonts w:ascii="Times New Roman" w:eastAsia="Calibri" w:hAnsi="Times New Roman" w:cs="Times New Roman"/>
          <w:b/>
          <w:lang w:eastAsia="en-US"/>
        </w:rPr>
        <w:t>ałącznik Nr 2 do uchwały Nr XVI.   .2</w:t>
      </w:r>
      <w:r w:rsidRPr="00AE6402">
        <w:rPr>
          <w:rFonts w:ascii="Times New Roman" w:eastAsia="Calibri" w:hAnsi="Times New Roman" w:cs="Times New Roman"/>
          <w:b/>
          <w:lang w:eastAsia="en-US"/>
        </w:rPr>
        <w:t>0</w:t>
      </w:r>
      <w:r>
        <w:rPr>
          <w:rFonts w:ascii="Times New Roman" w:eastAsia="Calibri" w:hAnsi="Times New Roman" w:cs="Times New Roman"/>
          <w:b/>
          <w:lang w:eastAsia="en-US"/>
        </w:rPr>
        <w:t>20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 Rady Gminy Złotów z dnia </w:t>
      </w:r>
      <w:r>
        <w:rPr>
          <w:rFonts w:ascii="Times New Roman" w:eastAsia="Calibri" w:hAnsi="Times New Roman" w:cs="Times New Roman"/>
          <w:b/>
          <w:lang w:eastAsia="en-US"/>
        </w:rPr>
        <w:t xml:space="preserve">30 stycznia 2020 </w:t>
      </w:r>
      <w:r w:rsidRPr="00AE6402">
        <w:rPr>
          <w:rFonts w:ascii="Times New Roman" w:eastAsia="Calibri" w:hAnsi="Times New Roman" w:cs="Times New Roman"/>
          <w:b/>
          <w:lang w:eastAsia="en-US"/>
        </w:rPr>
        <w:t xml:space="preserve">r. </w:t>
      </w:r>
      <w:r w:rsidRPr="00C32754">
        <w:rPr>
          <w:rFonts w:ascii="Times New Roman" w:hAnsi="Times New Roman" w:cs="Times New Roman"/>
          <w:b/>
          <w:bCs/>
        </w:rPr>
        <w:t xml:space="preserve">w sprawie wprowadzenia zmian do uchwały </w:t>
      </w:r>
      <w:r>
        <w:rPr>
          <w:rFonts w:ascii="Times New Roman" w:hAnsi="Times New Roman" w:cs="Times New Roman"/>
          <w:b/>
          <w:bCs/>
        </w:rPr>
        <w:br/>
      </w:r>
      <w:r w:rsidRPr="00C32754">
        <w:rPr>
          <w:rFonts w:ascii="Times New Roman" w:hAnsi="Times New Roman" w:cs="Times New Roman"/>
          <w:b/>
          <w:bCs/>
        </w:rPr>
        <w:t>w sprawie uchwalenia Wieloletniej Pr</w:t>
      </w:r>
      <w:r>
        <w:rPr>
          <w:rFonts w:ascii="Times New Roman" w:hAnsi="Times New Roman" w:cs="Times New Roman"/>
          <w:b/>
          <w:bCs/>
        </w:rPr>
        <w:t xml:space="preserve">ognozy Finansowej Gminy Złotów </w:t>
      </w:r>
      <w:r w:rsidRPr="00C32754">
        <w:rPr>
          <w:rFonts w:ascii="Times New Roman" w:hAnsi="Times New Roman" w:cs="Times New Roman"/>
          <w:b/>
          <w:bCs/>
        </w:rPr>
        <w:t>na lata 2020-2026</w:t>
      </w:r>
      <w:r w:rsidRPr="00AE6402">
        <w:rPr>
          <w:rFonts w:ascii="Times New Roman" w:eastAsia="Calibri" w:hAnsi="Times New Roman" w:cs="Times New Roman"/>
          <w:b/>
          <w:lang w:eastAsia="en-US"/>
        </w:rPr>
        <w:t>.</w:t>
      </w:r>
    </w:p>
    <w:p w:rsidR="00AE6402" w:rsidRDefault="00AE6402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tbl>
      <w:tblPr>
        <w:tblW w:w="1245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55"/>
        <w:gridCol w:w="1134"/>
        <w:gridCol w:w="567"/>
        <w:gridCol w:w="567"/>
        <w:gridCol w:w="850"/>
        <w:gridCol w:w="851"/>
        <w:gridCol w:w="709"/>
        <w:gridCol w:w="708"/>
        <w:gridCol w:w="709"/>
        <w:gridCol w:w="709"/>
        <w:gridCol w:w="820"/>
      </w:tblGrid>
      <w:tr w:rsidR="00006F01" w:rsidRPr="00006F01" w:rsidTr="00006F01">
        <w:trPr>
          <w:trHeight w:val="45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L.p.</w:t>
            </w:r>
          </w:p>
        </w:tc>
        <w:tc>
          <w:tcPr>
            <w:tcW w:w="41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Nazwa i cel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Jednostka odpowiedzialna lub koordynująca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Okres realizacji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Łączne nakłady finansowe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2020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2021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2022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2023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2024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Limit zobowiązań</w:t>
            </w:r>
          </w:p>
        </w:tc>
      </w:tr>
      <w:tr w:rsidR="00006F01" w:rsidRPr="00006F01" w:rsidTr="00006F01">
        <w:trPr>
          <w:trHeight w:val="45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41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Od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Do</w:t>
            </w: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</w:p>
        </w:tc>
      </w:tr>
      <w:tr w:rsidR="00006F01" w:rsidRPr="00006F01" w:rsidTr="00006F01">
        <w:trPr>
          <w:trHeight w:val="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006F01" w:rsidRPr="00006F01" w:rsidTr="00006F0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przedsięwzięcia-ogółem (1.1+1.2+1.3)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8 726 619,14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4 701 594,41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4 361 351,21</w:t>
            </w:r>
          </w:p>
        </w:tc>
      </w:tr>
      <w:tr w:rsidR="00006F01" w:rsidRPr="00006F01" w:rsidTr="00006F0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1.a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1 241 420,00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629 413,20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289 170,00</w:t>
            </w:r>
          </w:p>
        </w:tc>
      </w:tr>
      <w:tr w:rsidR="00006F01" w:rsidRPr="00006F01" w:rsidTr="00006F0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1.b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7 485 199,14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4 072 181,21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4 072 181,21</w:t>
            </w:r>
          </w:p>
        </w:tc>
      </w:tr>
      <w:tr w:rsidR="00006F01" w:rsidRPr="00006F01" w:rsidTr="00006F0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programami realizowanymi z udziałem środków, o których mowa w art.5 ust.1 pkt 2 i 3 ustawy z dnia 27 sierpnia 2009.r. o finansach publicznych (</w:t>
            </w:r>
            <w:proofErr w:type="spellStart"/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Dz.U.Nr</w:t>
            </w:r>
            <w:proofErr w:type="spellEnd"/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157, poz.1240,z późn.zm.), z tego: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6F01" w:rsidRPr="00006F01" w:rsidTr="00006F0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6F01" w:rsidRPr="00006F01" w:rsidTr="00006F0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1.1.2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6F01" w:rsidRPr="00006F01" w:rsidTr="00006F0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związane z umowami partnerstwa publiczno-prywatnego, z tego: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6F01" w:rsidRPr="00006F01" w:rsidTr="00006F0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6F01" w:rsidRPr="00006F01" w:rsidTr="00006F0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1.2.2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6F01" w:rsidRPr="00006F01" w:rsidTr="00006F0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Wydatki na programy, projekty lub zadania pozostałe (inne niż wymienione w pkt 1.1 i 1.2),z tego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8 726 619,14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4 701 594,41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4 361 351,21</w:t>
            </w:r>
          </w:p>
        </w:tc>
      </w:tr>
      <w:tr w:rsidR="00006F01" w:rsidRPr="00006F01" w:rsidTr="00006F0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bieżące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1 241 420,00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629 413,20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97 157,20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11 957,20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9 447,20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289 170,00</w:t>
            </w:r>
          </w:p>
        </w:tc>
      </w:tr>
      <w:tr w:rsidR="00006F01" w:rsidRPr="00006F01" w:rsidTr="00006F0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obrębie miejscowości Blękwit - umożliwienie rozwoju zabudowy w obrębie miejscowości Blękwit ograniczonej obowiązującym miejscowym planem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24 969,00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6 519,00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6F01" w:rsidRPr="00006F01" w:rsidTr="00006F0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Sporządzenie MPZP Gminy Złotów w obrębie ewidencyjnym Dzierzążenko - </w:t>
            </w:r>
            <w:proofErr w:type="spellStart"/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Wielatowo</w:t>
            </w:r>
            <w:proofErr w:type="spellEnd"/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- umożliwienie rozwoju usługowo-przemysłowego oraz mieszkaniowego na terenie Gminy Złotów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15 750,00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6F01" w:rsidRPr="00006F01" w:rsidTr="00006F01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Sporządzenie MPZP Gminy Złotów w miejscowości Radawnica - opracowanie zmiany istniejącego MPZP Gminy Złotów w miejscowości Radawnica, konieczność wtórnego wydzielenia nowych działek budowlanych, zmiana przebiegu granic dróg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29 520,00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14 520,00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6F01" w:rsidRPr="00006F01" w:rsidTr="00006F01">
        <w:trPr>
          <w:trHeight w:val="683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Zorganizowany dowóz uczniów do szkół w roku szkolnym 2019/2020 - Zapewnienie realizacji zadania własnego gminy polegającego na dowożeniu uczniów do szkół, zapewnienie bezpieczeństwa uczniom w czasie dowozu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817 278,00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489 367,00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17 928,00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Urzędzie Gminy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31 094,00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6 220,00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5 020,00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2 510,00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34,00</w:t>
            </w:r>
          </w:p>
        </w:tc>
      </w:tr>
      <w:tr w:rsidR="00006F01" w:rsidRPr="00006F01" w:rsidTr="00006F0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1.3.1.6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klimatyzacji w salach wiejskich na terenie Gminy Złotów - zapewnienie prawidłowego funkcjonowania klimatyzatorów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14 883,00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2 706,00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1.3.1.7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Nadzór autorski nad programami komputerowymi - zapewnienie prawidłowego funkcjonowania programów komputerowych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7 670,00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2 600,00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358,00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1.3.1.8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Przegląd i konserwacja kserokopiarek - Zapewnienie prawidłowego funkcjonowania kserokopiarek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2 706,00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541,20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6F01" w:rsidRPr="00006F01" w:rsidTr="00006F0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1.3.1.9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Utrzymanie gminnego systemu informacji przestrzennej - zapewnienie realizacji zadania gminy polegającego na utrzymaniu portalu informacji przestrzennej o charakterze planistycznym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18 450,00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3 690,00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18 450,00</w:t>
            </w:r>
          </w:p>
        </w:tc>
      </w:tr>
    </w:tbl>
    <w:p w:rsidR="00006F01" w:rsidRDefault="00006F01" w:rsidP="00006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006F01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245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55"/>
        <w:gridCol w:w="1134"/>
        <w:gridCol w:w="567"/>
        <w:gridCol w:w="567"/>
        <w:gridCol w:w="850"/>
        <w:gridCol w:w="851"/>
        <w:gridCol w:w="709"/>
        <w:gridCol w:w="708"/>
        <w:gridCol w:w="709"/>
        <w:gridCol w:w="709"/>
        <w:gridCol w:w="820"/>
      </w:tblGrid>
      <w:tr w:rsidR="00006F01" w:rsidRPr="00006F01" w:rsidTr="00006F01">
        <w:trPr>
          <w:trHeight w:val="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006F01" w:rsidRPr="00006F01" w:rsidTr="00006F01">
        <w:trPr>
          <w:trHeight w:val="529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1.3.1.10</w:t>
            </w:r>
          </w:p>
        </w:tc>
        <w:tc>
          <w:tcPr>
            <w:tcW w:w="41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Ubezpieczenie mienia i odpowiedzialności cywilnej w Gminie Złotów w latach 2020-2022 - Ubezpieczenie mienia i odpowiedzialności cywilnej w Gminie Zlotów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84 000,00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252 000,00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Obsługa geodezyjna Gminy Złotów w m. Radawnica - </w:t>
            </w:r>
            <w:proofErr w:type="spellStart"/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Sprządzenie</w:t>
            </w:r>
            <w:proofErr w:type="spellEnd"/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 dokumentacji dotyczącej podziału działek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2 100,00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2 100,00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</w:tr>
      <w:tr w:rsidR="00006F01" w:rsidRPr="00006F01" w:rsidTr="00006F0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1.3.1.12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Obsługa geodezyjna Gminy Złotów w m. Krzywa Wieś, Dzierzążenko, Górzna, Bługowo, Nowy Dwór, Kleszczyna - sporządzenie dokumentacji dotyczącej podziału działek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1 400,00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400,00</w:t>
            </w:r>
          </w:p>
        </w:tc>
      </w:tr>
      <w:tr w:rsidR="00006F01" w:rsidRPr="00006F01" w:rsidTr="00006F01">
        <w:trPr>
          <w:trHeight w:val="214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</w:t>
            </w:r>
          </w:p>
        </w:tc>
        <w:tc>
          <w:tcPr>
            <w:tcW w:w="642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- wydatki majątkowe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7 485 199,14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4 072 181,21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4 072 181,21</w:t>
            </w:r>
          </w:p>
        </w:tc>
      </w:tr>
      <w:tr w:rsidR="00006F01" w:rsidRPr="00006F01" w:rsidTr="00006F01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Nowa Święta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1 768 795,00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006F01" w:rsidRPr="00006F01" w:rsidTr="00006F01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kanalizacji sanitarnej w m. Wąsosz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1 337 242,00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006F01" w:rsidRPr="00006F01" w:rsidTr="00006F01">
        <w:trPr>
          <w:trHeight w:val="840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i kanalizacji sanitarnej w m. Blękwit (dz. nr 635/12) - Poprawa stanu środowiska naturalnego, czystości wód i gleby dzięki redukcji ładunku zanieczyszczeń wprowadzanych do środowiska, co osiągnięte zostanie poprzez eliminacje niekontrolowanego odprowadzania ścieków do wód czy gruntu.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180 000,00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Bielawa (dz. nr 93/7)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106 684,14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sieci wodociągowej w m. Blękwit (dz. nr 250/26) -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25 000,00</w:t>
            </w:r>
          </w:p>
        </w:tc>
      </w:tr>
      <w:tr w:rsidR="00006F01" w:rsidRPr="00006F01" w:rsidTr="00006F0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1.3.2.6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stacji podnoszenia ciśnienia w m. Bielawa - poprawa standardów dostarczanej wody do gospodarstw domowych na terenie gminy, rozbudowa infrastruktury wodociągowej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333 328,00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132 000,00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1.3.2.7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pomostu w m. Sławianowo - Podniesienie atrakcyjności turystycznej obszaru nad jeziorem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18 626,83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8 786,83</w:t>
            </w:r>
          </w:p>
        </w:tc>
      </w:tr>
      <w:tr w:rsidR="00006F01" w:rsidRPr="00006F01" w:rsidTr="00006F0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1.3.2.8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Buntowo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6 850,00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3 500,00</w:t>
            </w:r>
          </w:p>
        </w:tc>
      </w:tr>
      <w:tr w:rsidR="00006F01" w:rsidRPr="00006F01" w:rsidTr="00006F0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1.3.2.9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Krzywa Wieś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46 300,00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33 800,00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33 800,00</w:t>
            </w:r>
          </w:p>
        </w:tc>
      </w:tr>
      <w:tr w:rsidR="00006F01" w:rsidRPr="00006F01" w:rsidTr="00006F0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1.3.2.10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wiaty rekreacyjnej w m. Radawnica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37 919,05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7 000,00</w:t>
            </w:r>
          </w:p>
        </w:tc>
      </w:tr>
      <w:tr w:rsidR="00006F01" w:rsidRPr="00006F01" w:rsidTr="00006F0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amfiteatru w Świętej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104 679,00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30 000,00</w:t>
            </w:r>
          </w:p>
        </w:tc>
      </w:tr>
      <w:tr w:rsidR="00006F01" w:rsidRPr="00006F01" w:rsidTr="00006F0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przy sali wiejskiej w Kleszczynie wraz z budową wiaty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128 747,57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30 136,57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30 136,57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Górzna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54 037,48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</w:tr>
    </w:tbl>
    <w:p w:rsidR="00006F01" w:rsidRDefault="00006F01" w:rsidP="00006F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"/>
          <w:szCs w:val="14"/>
        </w:rPr>
        <w:sectPr w:rsidR="00006F01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tbl>
      <w:tblPr>
        <w:tblW w:w="1245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"/>
        <w:gridCol w:w="4155"/>
        <w:gridCol w:w="1134"/>
        <w:gridCol w:w="567"/>
        <w:gridCol w:w="567"/>
        <w:gridCol w:w="850"/>
        <w:gridCol w:w="851"/>
        <w:gridCol w:w="709"/>
        <w:gridCol w:w="708"/>
        <w:gridCol w:w="709"/>
        <w:gridCol w:w="709"/>
        <w:gridCol w:w="820"/>
      </w:tblGrid>
      <w:tr w:rsidR="00006F01" w:rsidRPr="00006F01" w:rsidTr="00006F01">
        <w:trPr>
          <w:trHeight w:val="4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lastRenderedPageBreak/>
              <w:t>1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Kamień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39 909,00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Międzybłocie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9 000,00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1.3.2.16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chodnika w m. Stawnica - poprawa bezpieczeństwa pieszych i rowerzystów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32 000,00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17 000,00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1.3.2.17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drogi w m. Klukowo ("na nasypie")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131 000,00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1.3.2.18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kładki dla pieszych przy drodze gminnej w m. Skic - poprawa bezpieczeństwa pieszych w ruchu drogowym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121 604,00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1.3.2.19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ścieżki pieszo-rowerowej Stawnica-Złotów - Poprawa warunków komunikacyjnych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349 786,00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100 000,00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1.3.2.20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dróg w m. Międzybłocie wraz z infrastrukturą techniczną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1 050 000,00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1 000 000,00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1.3.2.21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ul. Kościelnej w m. Radawnica - poprawa infrastruktury drogowej w gminie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1 315 000,00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65 000,00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1.3.2.22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Budowa zadaszenia nad drzwiami wejściowymi do sali wiejskiej w m. Wąsosz - poprawa funkcjonalności i estetyki budynku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10 000,00</w:t>
            </w:r>
          </w:p>
        </w:tc>
      </w:tr>
      <w:tr w:rsidR="00006F01" w:rsidRPr="00006F01" w:rsidTr="00006F0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1.3.2.23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Modernizacja sali wiejskiej w m. Nowa Święta - stworzenie miejsca o predyspozycjach gwarantujących pobudzenie aktywności i integracji jego mieszkańców poprzez modernizację sali wiejskiej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141 070,00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22 000,00</w:t>
            </w:r>
          </w:p>
        </w:tc>
      </w:tr>
      <w:tr w:rsidR="00006F01" w:rsidRPr="00006F01" w:rsidTr="00006F01">
        <w:trPr>
          <w:trHeight w:val="529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1.3.2.24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Zagospodarowanie terenu wokół sali wiejskiej w m. Zalesie - Stworzenie miejsca umożliwiającego integrację mieszkańców wsi, poprawa warunków życia mieszkańców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39 921,07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15 957,81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15 957,81</w:t>
            </w:r>
          </w:p>
        </w:tc>
      </w:tr>
      <w:tr w:rsidR="00006F01" w:rsidRPr="00006F01" w:rsidTr="00006F01">
        <w:trPr>
          <w:trHeight w:val="372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1.3.2.25</w:t>
            </w:r>
          </w:p>
        </w:tc>
        <w:tc>
          <w:tcPr>
            <w:tcW w:w="4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Przebudowa i rozbudowa budynku sali sportowej przy Szkole Podstawowej w m. Święta - Poprawa funkcjonalności budynku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Urząd Gminy Złotów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06F01" w:rsidRPr="00006F01" w:rsidRDefault="00006F01" w:rsidP="00006F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  <w:r w:rsidRPr="00006F01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  <w:t>63 000,00</w:t>
            </w:r>
          </w:p>
        </w:tc>
      </w:tr>
    </w:tbl>
    <w:p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006F01" w:rsidRDefault="00006F01" w:rsidP="00AE6402">
      <w:pPr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16"/>
          <w:lang w:eastAsia="en-US"/>
        </w:rPr>
      </w:pPr>
    </w:p>
    <w:p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AE6402" w:rsidRPr="0015246B" w:rsidRDefault="00AE6402" w:rsidP="00980965">
      <w:pPr>
        <w:spacing w:after="0" w:line="240" w:lineRule="auto"/>
        <w:rPr>
          <w:rFonts w:ascii="Times New Roman" w:eastAsiaTheme="minorHAnsi" w:hAnsi="Times New Roman" w:cs="Times New Roman"/>
          <w:b/>
          <w:lang w:eastAsia="en-US"/>
        </w:rPr>
      </w:pPr>
    </w:p>
    <w:p w:rsidR="001E7113" w:rsidRPr="0076125E" w:rsidRDefault="001E7113" w:rsidP="00256972">
      <w:pPr>
        <w:rPr>
          <w:b/>
        </w:rPr>
        <w:sectPr w:rsidR="001E7113" w:rsidRPr="0076125E" w:rsidSect="00407BC7">
          <w:pgSz w:w="15840" w:h="11894" w:orient="landscape"/>
          <w:pgMar w:top="1247" w:right="1418" w:bottom="1247" w:left="1440" w:header="709" w:footer="709" w:gutter="0"/>
          <w:cols w:space="708"/>
          <w:noEndnote/>
        </w:sectPr>
      </w:pP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06F01">
        <w:rPr>
          <w:rFonts w:ascii="Times New Roman" w:hAnsi="Times New Roman" w:cs="Times New Roman"/>
          <w:b/>
          <w:bCs/>
        </w:rPr>
        <w:lastRenderedPageBreak/>
        <w:t>Objaśnienia do uchwały Nr XVI.  .2020</w:t>
      </w: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06F01">
        <w:rPr>
          <w:rFonts w:ascii="Times New Roman" w:hAnsi="Times New Roman" w:cs="Times New Roman"/>
          <w:b/>
          <w:bCs/>
        </w:rPr>
        <w:t>Rady Gminy Złotów z dnia 30 stycznia 2020 r.</w:t>
      </w: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06F01">
        <w:rPr>
          <w:rFonts w:ascii="Times New Roman" w:hAnsi="Times New Roman" w:cs="Times New Roman"/>
          <w:b/>
          <w:bCs/>
        </w:rPr>
        <w:t>w sprawie wprowadzenia zmian do uchwały w sprawie uchwalenia Wieloletniej Prognozy Finansowej Gminy Złotów na lata 2020 – 2026.</w:t>
      </w: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6F01">
        <w:rPr>
          <w:rFonts w:ascii="Times New Roman" w:hAnsi="Times New Roman" w:cs="Times New Roman"/>
          <w:b/>
          <w:bCs/>
        </w:rPr>
        <w:t>Załącznik Nr 1 – Wieloletnia Prognoza Finansowa na lata 2020-2026</w:t>
      </w: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 xml:space="preserve">Dla celów zachowania zgodności pomiędzy uchwałą budżetową na rok 2020, a Wieloletnią Prognozą Finansową w zakresie roku 2020 w odpowiednich pozycjach Wieloletniej Prognozy Finansowej wprowadzono zmiany wynikające ze zmian do uchwały budżetowej wprowadzonych uchwałą Rady Gminy Złotów Nr XVI.  .2020 z dnia 30 stycznia 2020 r. </w:t>
      </w: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6F01">
        <w:rPr>
          <w:rFonts w:ascii="Times New Roman" w:hAnsi="Times New Roman" w:cs="Times New Roman"/>
        </w:rPr>
        <w:t>Zwiększone zostały prognozowane kwoty dochodów</w:t>
      </w:r>
      <w:r w:rsidRPr="00006F01">
        <w:rPr>
          <w:rFonts w:ascii="Times New Roman" w:hAnsi="Times New Roman" w:cs="Times New Roman"/>
          <w:b/>
          <w:bCs/>
        </w:rPr>
        <w:t xml:space="preserve"> </w:t>
      </w:r>
      <w:r w:rsidRPr="00006F01">
        <w:rPr>
          <w:rFonts w:ascii="Times New Roman" w:hAnsi="Times New Roman" w:cs="Times New Roman"/>
        </w:rPr>
        <w:t>o 24.482,00 zł, to jest do kwoty 48.124.972,07 zł,</w:t>
      </w:r>
    </w:p>
    <w:p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>z tego zwiększenie dochodów majątkowych o 24.482,00 zł, to jest do kwoty 4.497.324,07 zł.</w:t>
      </w: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6F01">
        <w:rPr>
          <w:rFonts w:ascii="Times New Roman" w:hAnsi="Times New Roman" w:cs="Times New Roman"/>
        </w:rPr>
        <w:t>Zwiększone zostały planowane kwoty wydatków</w:t>
      </w:r>
      <w:r w:rsidRPr="00006F01">
        <w:rPr>
          <w:rFonts w:ascii="Times New Roman" w:hAnsi="Times New Roman" w:cs="Times New Roman"/>
          <w:b/>
          <w:bCs/>
        </w:rPr>
        <w:t xml:space="preserve"> </w:t>
      </w:r>
      <w:r w:rsidRPr="00006F01">
        <w:rPr>
          <w:rFonts w:ascii="Times New Roman" w:hAnsi="Times New Roman" w:cs="Times New Roman"/>
        </w:rPr>
        <w:t xml:space="preserve">o 24.482,00 zł, to jest do kwoty 47.829.972,07 zł, </w:t>
      </w:r>
    </w:p>
    <w:p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>z tego:</w:t>
      </w:r>
    </w:p>
    <w:p w:rsidR="00006F01" w:rsidRPr="00006F01" w:rsidRDefault="00006F01" w:rsidP="00006F01">
      <w:pPr>
        <w:tabs>
          <w:tab w:val="left" w:pos="720"/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>a) bieżących – zmniejszenie o 7.018,00 zł, to jest do kwoty 40.548.313,62 zł,</w:t>
      </w:r>
    </w:p>
    <w:p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>b) majątkowych – zwiększenie o 31.500,00 zł, to jest do kwoty 7.281.658,45 zł.</w:t>
      </w:r>
    </w:p>
    <w:p w:rsidR="00006F01" w:rsidRPr="00006F01" w:rsidRDefault="00006F01" w:rsidP="00006F0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>Różnica między dochodami bieżącymi, a wydatkami bieżącymi (art. 242 ustawy) zwiększyła się o kwotę 7.018,00 zł i wynosi 3.079.334,38 zł.</w:t>
      </w:r>
    </w:p>
    <w:p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>Zaktualizowano również pozostałe dane wynikające ze szczegółowości Wieloletniej Prognozy Finansowej.</w:t>
      </w:r>
    </w:p>
    <w:p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06F01">
        <w:rPr>
          <w:rFonts w:ascii="Times New Roman" w:hAnsi="Times New Roman" w:cs="Times New Roman"/>
          <w:b/>
          <w:bCs/>
        </w:rPr>
        <w:t>Załącznik Nr 2 – Wykaz Wieloletnich Przedsięwzięć Finansowych</w:t>
      </w:r>
    </w:p>
    <w:p w:rsidR="00006F01" w:rsidRPr="00006F01" w:rsidRDefault="00006F01" w:rsidP="00006F01">
      <w:pPr>
        <w:tabs>
          <w:tab w:val="left" w:pos="6315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06F01" w:rsidRPr="00006F01" w:rsidRDefault="00006F01" w:rsidP="00006F0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 xml:space="preserve">Dokonano zmian łącznych nakładów finansowych, limitu wydatków roku 2020 oraz limitu zobowiązań </w:t>
      </w:r>
      <w:r w:rsidRPr="00006F01">
        <w:rPr>
          <w:rFonts w:ascii="Times New Roman" w:hAnsi="Times New Roman" w:cs="Times New Roman"/>
        </w:rPr>
        <w:br/>
        <w:t>w przedsięwzięciach majątkowych o nazwie:</w:t>
      </w:r>
    </w:p>
    <w:p w:rsidR="00006F01" w:rsidRPr="00006F01" w:rsidRDefault="00006F01" w:rsidP="00006F0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>-  „Zagospodarowanie terenu przy sali wiejskiej w Kleszczynie wraz z budową wiaty” – zwiększenie               o kwotę 15.200,00 zł,</w:t>
      </w:r>
    </w:p>
    <w:p w:rsidR="00006F01" w:rsidRPr="00006F01" w:rsidRDefault="00006F01" w:rsidP="00006F0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06F01">
        <w:rPr>
          <w:rFonts w:ascii="Times New Roman" w:hAnsi="Times New Roman" w:cs="Times New Roman"/>
        </w:rPr>
        <w:t>- „Budowa wiaty rekreacyjnej w m. Krzywa Wieś” – zwiększenie o kwotę 16.300,00 zł.</w:t>
      </w:r>
    </w:p>
    <w:sectPr w:rsidR="00006F01" w:rsidRPr="00006F01" w:rsidSect="005C6171">
      <w:pgSz w:w="12240" w:h="15840"/>
      <w:pgMar w:top="1417" w:right="1417" w:bottom="1417" w:left="1417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12B" w:rsidRDefault="003D412B" w:rsidP="00211500">
      <w:pPr>
        <w:spacing w:after="0" w:line="240" w:lineRule="auto"/>
      </w:pPr>
      <w:r>
        <w:separator/>
      </w:r>
    </w:p>
  </w:endnote>
  <w:endnote w:type="continuationSeparator" w:id="0">
    <w:p w:rsidR="003D412B" w:rsidRDefault="003D412B" w:rsidP="00211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12B" w:rsidRDefault="003D412B" w:rsidP="00211500">
      <w:pPr>
        <w:spacing w:after="0" w:line="240" w:lineRule="auto"/>
      </w:pPr>
      <w:r>
        <w:separator/>
      </w:r>
    </w:p>
  </w:footnote>
  <w:footnote w:type="continuationSeparator" w:id="0">
    <w:p w:rsidR="003D412B" w:rsidRDefault="003D412B" w:rsidP="00211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7643338"/>
      <w:docPartObj>
        <w:docPartGallery w:val="Page Numbers (Top of Page)"/>
        <w:docPartUnique/>
      </w:docPartObj>
    </w:sdtPr>
    <w:sdtContent>
      <w:p w:rsidR="00006F01" w:rsidRDefault="00006F01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22E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006F01" w:rsidRDefault="00006F0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00000003"/>
    <w:multiLevelType w:val="singleLevel"/>
    <w:tmpl w:val="5EA8E7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>
    <w:nsid w:val="00000004"/>
    <w:multiLevelType w:val="singleLevel"/>
    <w:tmpl w:val="23FCC4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6">
    <w:nsid w:val="33C71247"/>
    <w:multiLevelType w:val="hybridMultilevel"/>
    <w:tmpl w:val="FEAEF9A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32522"/>
    <w:multiLevelType w:val="hybridMultilevel"/>
    <w:tmpl w:val="9496E7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2C63DA"/>
    <w:multiLevelType w:val="hybridMultilevel"/>
    <w:tmpl w:val="58AC58BC"/>
    <w:lvl w:ilvl="0" w:tplc="3512443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57C90473"/>
    <w:multiLevelType w:val="hybridMultilevel"/>
    <w:tmpl w:val="CBF27F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B186F"/>
    <w:multiLevelType w:val="hybridMultilevel"/>
    <w:tmpl w:val="3DAECF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449D0"/>
    <w:multiLevelType w:val="hybridMultilevel"/>
    <w:tmpl w:val="8174C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10"/>
  </w:num>
  <w:num w:numId="10">
    <w:abstractNumId w:val="7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641"/>
    <w:rsid w:val="00000E23"/>
    <w:rsid w:val="00001056"/>
    <w:rsid w:val="000036DD"/>
    <w:rsid w:val="00005BC9"/>
    <w:rsid w:val="00006F01"/>
    <w:rsid w:val="000246D5"/>
    <w:rsid w:val="00033F09"/>
    <w:rsid w:val="00040736"/>
    <w:rsid w:val="000704FD"/>
    <w:rsid w:val="00075655"/>
    <w:rsid w:val="0008115E"/>
    <w:rsid w:val="00092685"/>
    <w:rsid w:val="00094B7A"/>
    <w:rsid w:val="000A0F10"/>
    <w:rsid w:val="000B5CE5"/>
    <w:rsid w:val="000D1FD1"/>
    <w:rsid w:val="000F46C3"/>
    <w:rsid w:val="00101423"/>
    <w:rsid w:val="0015246B"/>
    <w:rsid w:val="00153667"/>
    <w:rsid w:val="00162387"/>
    <w:rsid w:val="00166946"/>
    <w:rsid w:val="0016698E"/>
    <w:rsid w:val="001968C0"/>
    <w:rsid w:val="001B0C09"/>
    <w:rsid w:val="001D2972"/>
    <w:rsid w:val="001E7113"/>
    <w:rsid w:val="001F0D29"/>
    <w:rsid w:val="00211500"/>
    <w:rsid w:val="00233BEB"/>
    <w:rsid w:val="00256972"/>
    <w:rsid w:val="00260D2E"/>
    <w:rsid w:val="00266928"/>
    <w:rsid w:val="0027049E"/>
    <w:rsid w:val="0028042B"/>
    <w:rsid w:val="002821D5"/>
    <w:rsid w:val="002F3160"/>
    <w:rsid w:val="00305EA7"/>
    <w:rsid w:val="00321A9F"/>
    <w:rsid w:val="00330EAD"/>
    <w:rsid w:val="00350508"/>
    <w:rsid w:val="003A0BAC"/>
    <w:rsid w:val="003A3B90"/>
    <w:rsid w:val="003A4F61"/>
    <w:rsid w:val="003B7581"/>
    <w:rsid w:val="003D0499"/>
    <w:rsid w:val="003D11B0"/>
    <w:rsid w:val="003D412B"/>
    <w:rsid w:val="004005E6"/>
    <w:rsid w:val="00407BC7"/>
    <w:rsid w:val="00421FC9"/>
    <w:rsid w:val="0044099E"/>
    <w:rsid w:val="004416C9"/>
    <w:rsid w:val="00451232"/>
    <w:rsid w:val="004952A5"/>
    <w:rsid w:val="004B0D90"/>
    <w:rsid w:val="004C0264"/>
    <w:rsid w:val="004D61E6"/>
    <w:rsid w:val="004E32C3"/>
    <w:rsid w:val="005038DF"/>
    <w:rsid w:val="00512734"/>
    <w:rsid w:val="00520687"/>
    <w:rsid w:val="0052506D"/>
    <w:rsid w:val="00527F5D"/>
    <w:rsid w:val="0056011E"/>
    <w:rsid w:val="00567D8B"/>
    <w:rsid w:val="00574B79"/>
    <w:rsid w:val="0057598C"/>
    <w:rsid w:val="00577883"/>
    <w:rsid w:val="00597686"/>
    <w:rsid w:val="005C6171"/>
    <w:rsid w:val="005C680D"/>
    <w:rsid w:val="005E1C19"/>
    <w:rsid w:val="005E20EE"/>
    <w:rsid w:val="005F30B6"/>
    <w:rsid w:val="005F5479"/>
    <w:rsid w:val="00601857"/>
    <w:rsid w:val="00604701"/>
    <w:rsid w:val="00607B6D"/>
    <w:rsid w:val="00610726"/>
    <w:rsid w:val="00611AF8"/>
    <w:rsid w:val="00646417"/>
    <w:rsid w:val="00661612"/>
    <w:rsid w:val="00682A2E"/>
    <w:rsid w:val="00693541"/>
    <w:rsid w:val="0069524C"/>
    <w:rsid w:val="006A55F6"/>
    <w:rsid w:val="006B5EBA"/>
    <w:rsid w:val="006C525B"/>
    <w:rsid w:val="007032BB"/>
    <w:rsid w:val="007337F4"/>
    <w:rsid w:val="00747667"/>
    <w:rsid w:val="0076125E"/>
    <w:rsid w:val="00772D9C"/>
    <w:rsid w:val="007844A0"/>
    <w:rsid w:val="00790BD6"/>
    <w:rsid w:val="007C1767"/>
    <w:rsid w:val="007D1BDC"/>
    <w:rsid w:val="007D2C05"/>
    <w:rsid w:val="007F3D4F"/>
    <w:rsid w:val="00821E83"/>
    <w:rsid w:val="00827D71"/>
    <w:rsid w:val="00834C16"/>
    <w:rsid w:val="008422E3"/>
    <w:rsid w:val="00872392"/>
    <w:rsid w:val="00895EE2"/>
    <w:rsid w:val="008D7BA1"/>
    <w:rsid w:val="0097062A"/>
    <w:rsid w:val="009730CB"/>
    <w:rsid w:val="00980965"/>
    <w:rsid w:val="009969B2"/>
    <w:rsid w:val="009C1930"/>
    <w:rsid w:val="009C3700"/>
    <w:rsid w:val="009D5A9C"/>
    <w:rsid w:val="00A015E5"/>
    <w:rsid w:val="00A3607F"/>
    <w:rsid w:val="00A456A5"/>
    <w:rsid w:val="00A81187"/>
    <w:rsid w:val="00AA0C7D"/>
    <w:rsid w:val="00AA4D1A"/>
    <w:rsid w:val="00AD6962"/>
    <w:rsid w:val="00AD70A0"/>
    <w:rsid w:val="00AE6402"/>
    <w:rsid w:val="00B02DE3"/>
    <w:rsid w:val="00B2072A"/>
    <w:rsid w:val="00B31672"/>
    <w:rsid w:val="00B342F5"/>
    <w:rsid w:val="00B36233"/>
    <w:rsid w:val="00B52E8B"/>
    <w:rsid w:val="00B6631D"/>
    <w:rsid w:val="00BA3505"/>
    <w:rsid w:val="00BC7794"/>
    <w:rsid w:val="00BD410D"/>
    <w:rsid w:val="00C006F1"/>
    <w:rsid w:val="00C039C6"/>
    <w:rsid w:val="00C2110C"/>
    <w:rsid w:val="00C32754"/>
    <w:rsid w:val="00C367D0"/>
    <w:rsid w:val="00C4706B"/>
    <w:rsid w:val="00C47548"/>
    <w:rsid w:val="00C47AB4"/>
    <w:rsid w:val="00C7685E"/>
    <w:rsid w:val="00C85AAB"/>
    <w:rsid w:val="00C8733D"/>
    <w:rsid w:val="00CA43E5"/>
    <w:rsid w:val="00CA5E6B"/>
    <w:rsid w:val="00D0415B"/>
    <w:rsid w:val="00D0568D"/>
    <w:rsid w:val="00D15908"/>
    <w:rsid w:val="00D43199"/>
    <w:rsid w:val="00D43DD4"/>
    <w:rsid w:val="00D47A12"/>
    <w:rsid w:val="00D515EE"/>
    <w:rsid w:val="00D62394"/>
    <w:rsid w:val="00D633C8"/>
    <w:rsid w:val="00D63494"/>
    <w:rsid w:val="00D65641"/>
    <w:rsid w:val="00D7584A"/>
    <w:rsid w:val="00D75C1B"/>
    <w:rsid w:val="00D96F9A"/>
    <w:rsid w:val="00DE22FD"/>
    <w:rsid w:val="00E24CD3"/>
    <w:rsid w:val="00E3327E"/>
    <w:rsid w:val="00E35245"/>
    <w:rsid w:val="00E3774A"/>
    <w:rsid w:val="00E61494"/>
    <w:rsid w:val="00E6415B"/>
    <w:rsid w:val="00E97D28"/>
    <w:rsid w:val="00EA5C37"/>
    <w:rsid w:val="00ED4331"/>
    <w:rsid w:val="00EE25AB"/>
    <w:rsid w:val="00EE6F51"/>
    <w:rsid w:val="00EF40D9"/>
    <w:rsid w:val="00F3341F"/>
    <w:rsid w:val="00F84561"/>
    <w:rsid w:val="00F9137A"/>
    <w:rsid w:val="00FC108E"/>
    <w:rsid w:val="00FC7D0C"/>
    <w:rsid w:val="00FE449C"/>
    <w:rsid w:val="00FE58D6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65641"/>
    <w:rPr>
      <w:b/>
      <w:bCs/>
    </w:rPr>
  </w:style>
  <w:style w:type="paragraph" w:styleId="NormalnyWeb">
    <w:name w:val="Normal (Web)"/>
    <w:basedOn w:val="Normalny"/>
    <w:uiPriority w:val="99"/>
    <w:rsid w:val="00D65641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500"/>
  </w:style>
  <w:style w:type="paragraph" w:styleId="Stopka">
    <w:name w:val="footer"/>
    <w:basedOn w:val="Normalny"/>
    <w:link w:val="StopkaZnak"/>
    <w:uiPriority w:val="99"/>
    <w:semiHidden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500"/>
  </w:style>
  <w:style w:type="paragraph" w:customStyle="1" w:styleId="Normal">
    <w:name w:val="[Normal]"/>
    <w:uiPriority w:val="99"/>
    <w:rsid w:val="0035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350508"/>
    <w:pPr>
      <w:autoSpaceDE w:val="0"/>
      <w:autoSpaceDN w:val="0"/>
      <w:adjustRightInd w:val="0"/>
      <w:spacing w:after="160" w:line="259" w:lineRule="auto"/>
      <w:ind w:left="720"/>
    </w:pPr>
    <w:rPr>
      <w:rFonts w:ascii="Calibri" w:hAnsi="Calibri" w:cs="Calibri"/>
    </w:rPr>
  </w:style>
  <w:style w:type="paragraph" w:styleId="Bezodstpw">
    <w:name w:val="No Spacing"/>
    <w:basedOn w:val="Normal"/>
    <w:uiPriority w:val="99"/>
    <w:qFormat/>
    <w:rsid w:val="00350508"/>
    <w:pPr>
      <w:widowControl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57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88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4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AE6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F4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D65641"/>
    <w:rPr>
      <w:b/>
      <w:bCs/>
    </w:rPr>
  </w:style>
  <w:style w:type="paragraph" w:styleId="NormalnyWeb">
    <w:name w:val="Normal (Web)"/>
    <w:basedOn w:val="Normalny"/>
    <w:uiPriority w:val="99"/>
    <w:rsid w:val="00D65641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1500"/>
  </w:style>
  <w:style w:type="paragraph" w:styleId="Stopka">
    <w:name w:val="footer"/>
    <w:basedOn w:val="Normalny"/>
    <w:link w:val="StopkaZnak"/>
    <w:uiPriority w:val="99"/>
    <w:semiHidden/>
    <w:unhideWhenUsed/>
    <w:rsid w:val="00211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500"/>
  </w:style>
  <w:style w:type="paragraph" w:customStyle="1" w:styleId="Normal">
    <w:name w:val="[Normal]"/>
    <w:uiPriority w:val="99"/>
    <w:rsid w:val="0035050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99"/>
    <w:qFormat/>
    <w:rsid w:val="00350508"/>
    <w:pPr>
      <w:autoSpaceDE w:val="0"/>
      <w:autoSpaceDN w:val="0"/>
      <w:adjustRightInd w:val="0"/>
      <w:spacing w:after="160" w:line="259" w:lineRule="auto"/>
      <w:ind w:left="720"/>
    </w:pPr>
    <w:rPr>
      <w:rFonts w:ascii="Calibri" w:hAnsi="Calibri" w:cs="Calibri"/>
    </w:rPr>
  </w:style>
  <w:style w:type="paragraph" w:styleId="Bezodstpw">
    <w:name w:val="No Spacing"/>
    <w:basedOn w:val="Normal"/>
    <w:uiPriority w:val="99"/>
    <w:qFormat/>
    <w:rsid w:val="00350508"/>
    <w:pPr>
      <w:widowControl/>
    </w:pPr>
    <w:rPr>
      <w:rFonts w:ascii="Calibri" w:hAnsi="Calibri" w:cs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39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5778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77883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F40D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AE6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D7E98-8D55-4000-A6E2-1BC6DDEC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14</Pages>
  <Words>4264</Words>
  <Characters>25586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gmina</cp:lastModifiedBy>
  <cp:revision>9</cp:revision>
  <cp:lastPrinted>2020-01-21T07:27:00Z</cp:lastPrinted>
  <dcterms:created xsi:type="dcterms:W3CDTF">2020-01-02T10:20:00Z</dcterms:created>
  <dcterms:modified xsi:type="dcterms:W3CDTF">2020-01-21T07:34:00Z</dcterms:modified>
</cp:coreProperties>
</file>